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70" w:rsidRDefault="00A14961"/>
    <w:p w:rsidR="00A14961" w:rsidRPr="00BF158A" w:rsidRDefault="00A14961" w:rsidP="00A14961">
      <w:pPr>
        <w:spacing w:after="0" w:line="240" w:lineRule="auto"/>
        <w:jc w:val="center"/>
        <w:rPr>
          <w:rFonts w:asciiTheme="majorHAnsi" w:hAnsiTheme="majorHAnsi"/>
          <w:b/>
          <w:caps/>
          <w:sz w:val="24"/>
          <w:szCs w:val="24"/>
        </w:rPr>
      </w:pPr>
      <w:r>
        <w:rPr>
          <w:rFonts w:asciiTheme="majorHAnsi" w:hAnsiTheme="majorHAnsi"/>
          <w:b/>
          <w:caps/>
          <w:sz w:val="24"/>
          <w:szCs w:val="24"/>
        </w:rPr>
        <w:t>BDE7</w:t>
      </w:r>
    </w:p>
    <w:p w:rsidR="00A14961" w:rsidRDefault="00A14961" w:rsidP="00A14961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BDE 7</w:t>
      </w:r>
      <w:r>
        <w:rPr>
          <w:rFonts w:asciiTheme="majorHAnsi" w:hAnsiTheme="majorHAnsi" w:cs="Times New Roman"/>
          <w:sz w:val="24"/>
          <w:szCs w:val="24"/>
        </w:rPr>
        <w:t xml:space="preserve"> employed a slightly different mechanism with the same properties as the Quincunx to see whether the results are idiosyncratic to that one randomizing mechanism</w:t>
      </w:r>
      <w:r w:rsidRPr="00BE366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A14961" w:rsidRDefault="00A14961" w:rsidP="00A14961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</w:p>
    <w:p w:rsidR="00A14961" w:rsidRPr="00BE3667" w:rsidRDefault="00A14961" w:rsidP="00A1496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E3667">
        <w:rPr>
          <w:rFonts w:asciiTheme="majorHAnsi" w:hAnsiTheme="majorHAnsi" w:cs="Times New Roman"/>
          <w:b/>
          <w:sz w:val="24"/>
          <w:szCs w:val="24"/>
        </w:rPr>
        <w:t>Participants</w:t>
      </w:r>
    </w:p>
    <w:p w:rsidR="00A14961" w:rsidRPr="00BE3667" w:rsidRDefault="00A14961" w:rsidP="00A14961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BE3667">
        <w:rPr>
          <w:rFonts w:asciiTheme="majorHAnsi" w:hAnsiTheme="majorHAnsi" w:cs="Times New Roman"/>
          <w:sz w:val="24"/>
          <w:szCs w:val="24"/>
        </w:rPr>
        <w:t xml:space="preserve">There were </w:t>
      </w:r>
      <w:r>
        <w:rPr>
          <w:rFonts w:asciiTheme="majorHAnsi" w:hAnsiTheme="majorHAnsi" w:cs="Times New Roman"/>
          <w:sz w:val="24"/>
          <w:szCs w:val="24"/>
        </w:rPr>
        <w:t>112</w:t>
      </w:r>
      <w:r w:rsidRPr="00BE3667">
        <w:rPr>
          <w:rFonts w:asciiTheme="majorHAnsi" w:hAnsiTheme="majorHAnsi" w:cs="Times New Roman"/>
          <w:sz w:val="24"/>
          <w:szCs w:val="24"/>
        </w:rPr>
        <w:t xml:space="preserve"> total participants who participated via Amazon’s Mechanical Turk</w:t>
      </w:r>
      <w:r>
        <w:rPr>
          <w:rFonts w:asciiTheme="majorHAnsi" w:hAnsiTheme="majorHAnsi" w:cs="Times New Roman"/>
          <w:sz w:val="24"/>
          <w:szCs w:val="24"/>
        </w:rPr>
        <w:t xml:space="preserve"> in exchange for $.50 and a chance at a $40 prize</w:t>
      </w:r>
      <w:r w:rsidRPr="00BE3667">
        <w:rPr>
          <w:rFonts w:asciiTheme="majorHAnsi" w:hAnsiTheme="majorHAnsi" w:cs="Times New Roman"/>
          <w:sz w:val="24"/>
          <w:szCs w:val="24"/>
        </w:rPr>
        <w:t>.</w:t>
      </w:r>
    </w:p>
    <w:p w:rsidR="00A14961" w:rsidRPr="00BE3667" w:rsidRDefault="00A14961" w:rsidP="00A1496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A14961" w:rsidRPr="00BE3667" w:rsidRDefault="00A14961" w:rsidP="00A1496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E3667">
        <w:rPr>
          <w:rFonts w:asciiTheme="majorHAnsi" w:hAnsiTheme="majorHAnsi" w:cs="Times New Roman"/>
          <w:b/>
          <w:sz w:val="24"/>
          <w:szCs w:val="24"/>
        </w:rPr>
        <w:t>Hypothesis</w:t>
      </w:r>
    </w:p>
    <w:p w:rsidR="00A14961" w:rsidRPr="00BE3667" w:rsidRDefault="00A14961" w:rsidP="00A14961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BE3667">
        <w:rPr>
          <w:rFonts w:asciiTheme="majorHAnsi" w:hAnsiTheme="majorHAnsi" w:cs="Times New Roman"/>
          <w:sz w:val="24"/>
          <w:szCs w:val="24"/>
        </w:rPr>
        <w:t>We expe</w:t>
      </w:r>
      <w:r>
        <w:rPr>
          <w:rFonts w:asciiTheme="majorHAnsi" w:hAnsiTheme="majorHAnsi" w:cs="Times New Roman"/>
          <w:sz w:val="24"/>
          <w:szCs w:val="24"/>
        </w:rPr>
        <w:t xml:space="preserve">cted that we would see more </w:t>
      </w:r>
      <w:r w:rsidRPr="00BE3667">
        <w:rPr>
          <w:rFonts w:asciiTheme="majorHAnsi" w:hAnsiTheme="majorHAnsi" w:cs="Times New Roman"/>
          <w:sz w:val="24"/>
          <w:szCs w:val="24"/>
        </w:rPr>
        <w:t xml:space="preserve">precision in the </w:t>
      </w:r>
      <w:r>
        <w:rPr>
          <w:rFonts w:asciiTheme="majorHAnsi" w:hAnsiTheme="majorHAnsi" w:cs="Times New Roman"/>
          <w:sz w:val="24"/>
          <w:szCs w:val="24"/>
        </w:rPr>
        <w:t>jumping bean</w:t>
      </w:r>
      <w:r w:rsidRPr="00BE3667">
        <w:rPr>
          <w:rFonts w:asciiTheme="majorHAnsi" w:hAnsiTheme="majorHAnsi" w:cs="Times New Roman"/>
          <w:sz w:val="24"/>
          <w:szCs w:val="24"/>
        </w:rPr>
        <w:t xml:space="preserve"> condition, especially in SPIES distributions.</w:t>
      </w:r>
    </w:p>
    <w:p w:rsidR="00A14961" w:rsidRPr="00BE3667" w:rsidRDefault="00A14961" w:rsidP="00A1496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A14961" w:rsidRPr="00BE3667" w:rsidRDefault="00A14961" w:rsidP="00A1496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E3667">
        <w:rPr>
          <w:rFonts w:asciiTheme="majorHAnsi" w:hAnsiTheme="majorHAnsi" w:cs="Times New Roman"/>
          <w:b/>
          <w:sz w:val="24"/>
          <w:szCs w:val="24"/>
        </w:rPr>
        <w:t>Results</w:t>
      </w:r>
    </w:p>
    <w:p w:rsidR="00A14961" w:rsidRDefault="00A14961" w:rsidP="00A14961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We expected those in the jumping bean condition would assert greater confidence that the bean would land in the middle position.  Those in the jumping bean condition reported a mean confidence of 27% that they had correctly identified what would happen, compared with 26% in the ball-drop condition.  This difference is nowhere near statistically significant in a 2 (ball vs. bean) X 2 (order: SPIES vs. item-confidence first) ANOVA, </w:t>
      </w:r>
      <w:proofErr w:type="gramStart"/>
      <w:r>
        <w:rPr>
          <w:rFonts w:asciiTheme="majorHAnsi" w:hAnsiTheme="majorHAnsi" w:cs="Times New Roman"/>
          <w:sz w:val="24"/>
          <w:szCs w:val="24"/>
        </w:rPr>
        <w:t>F(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1, 108) = .4, p = .53.  Neither the main effect of order nor the interaction attains significance.  </w:t>
      </w:r>
    </w:p>
    <w:p w:rsidR="00A14961" w:rsidRDefault="00A14961" w:rsidP="00A14961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There was however, greater precision (smaller variance) in the SPIES distributions reported of jumping beans (M = .076) than of dropped balls (M = .090).  A 2 X 2 ANOVA reveals this main effect to be significant, </w:t>
      </w:r>
      <w:proofErr w:type="gramStart"/>
      <w:r>
        <w:rPr>
          <w:rFonts w:asciiTheme="majorHAnsi" w:hAnsiTheme="majorHAnsi" w:cs="Times New Roman"/>
          <w:sz w:val="24"/>
          <w:szCs w:val="24"/>
        </w:rPr>
        <w:t>F(</w:t>
      </w:r>
      <w:proofErr w:type="gramEnd"/>
      <w:r>
        <w:rPr>
          <w:rFonts w:asciiTheme="majorHAnsi" w:hAnsiTheme="majorHAnsi" w:cs="Times New Roman"/>
          <w:sz w:val="24"/>
          <w:szCs w:val="24"/>
        </w:rPr>
        <w:t>1, 89) = 10.88, p = .001.  Neither the main effect of order nor the interaction is significant.  See Figure 3.  (Note that the sample size drops due to missing data attributable to a survey design error.)</w:t>
      </w:r>
    </w:p>
    <w:p w:rsidR="00A14961" w:rsidRDefault="00A14961" w:rsidP="00A1496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14961" w:rsidRDefault="00A14961" w:rsidP="00A1496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</w:rPr>
        <w:t>Figure 3.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 </w:t>
      </w:r>
      <w:proofErr w:type="gramStart"/>
      <w:r>
        <w:rPr>
          <w:rFonts w:asciiTheme="majorHAnsi" w:hAnsiTheme="majorHAnsi" w:cs="Times New Roman"/>
          <w:sz w:val="24"/>
          <w:szCs w:val="24"/>
        </w:rPr>
        <w:t>SPIES distributions for the jumping bean and ball-drop experimental conditions.</w:t>
      </w:r>
      <w:proofErr w:type="gramEnd"/>
    </w:p>
    <w:p w:rsidR="00A14961" w:rsidRDefault="00A14961" w:rsidP="00A1496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14961" w:rsidRDefault="00A14961" w:rsidP="00A1496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52FD34" wp14:editId="53C8A675">
            <wp:extent cx="5607698" cy="3536302"/>
            <wp:effectExtent l="0" t="0" r="0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14961" w:rsidRDefault="00A14961" w:rsidP="00A14961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14961" w:rsidRDefault="00A14961" w:rsidP="00A14961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 addition, in order to examine subjective probability distributions for something with which people are more familiar, we asked people to estimate the heights of American males.  Participants asked, “</w:t>
      </w:r>
      <w:r w:rsidRPr="00AD2ECF">
        <w:rPr>
          <w:rFonts w:asciiTheme="majorHAnsi" w:hAnsiTheme="majorHAnsi" w:cs="Times New Roman"/>
          <w:sz w:val="24"/>
          <w:szCs w:val="24"/>
        </w:rPr>
        <w:t xml:space="preserve">We are going to pick a man at random from a large group of men in the United States, and round </w:t>
      </w:r>
      <w:r>
        <w:rPr>
          <w:rFonts w:asciiTheme="majorHAnsi" w:hAnsiTheme="majorHAnsi" w:cs="Times New Roman"/>
          <w:sz w:val="24"/>
          <w:szCs w:val="24"/>
        </w:rPr>
        <w:t xml:space="preserve">his height to the nearest inch.  </w:t>
      </w:r>
      <w:r w:rsidRPr="00AD2ECF">
        <w:rPr>
          <w:rFonts w:asciiTheme="majorHAnsi" w:hAnsiTheme="majorHAnsi" w:cs="Times New Roman"/>
          <w:sz w:val="24"/>
          <w:szCs w:val="24"/>
        </w:rPr>
        <w:t>How likely is the man to be each of the heights listed below?</w:t>
      </w:r>
      <w:r>
        <w:rPr>
          <w:rFonts w:asciiTheme="majorHAnsi" w:hAnsiTheme="majorHAnsi" w:cs="Times New Roman"/>
          <w:sz w:val="24"/>
          <w:szCs w:val="24"/>
        </w:rPr>
        <w:t xml:space="preserve">”  They were then asked for a SPIES distribution with 11 categories from “Shorter than 5 feet, 6 inches” to “6 feet, 3 inches or taller.”  The results appear below.  People look remarkably well calibrated.  </w:t>
      </w:r>
    </w:p>
    <w:p w:rsidR="00A14961" w:rsidRDefault="00A14961" w:rsidP="00A14961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</w:p>
    <w:p w:rsidR="00A14961" w:rsidRPr="00A14961" w:rsidRDefault="00A14961" w:rsidP="00A14961">
      <w:pPr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834967" wp14:editId="3EA3E02A">
            <wp:extent cx="4591050" cy="3071814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A14961" w:rsidRPr="00A14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61"/>
    <w:rsid w:val="00173439"/>
    <w:rsid w:val="00400155"/>
    <w:rsid w:val="00A1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6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6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n\Dropbox\OPR\BDE%20(Carter)\BDE7%20jumpingbean\Data\130427%20BDE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on\Dropbox\OPR\BDE%20(Carter)\BDE7%20jumpingbean\Data\130427%20BDE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76639829888876"/>
          <c:y val="3.4148460870778247E-2"/>
          <c:w val="0.84606963780074318"/>
          <c:h val="0.82357799107212049"/>
        </c:manualLayout>
      </c:layout>
      <c:lineChart>
        <c:grouping val="standard"/>
        <c:varyColors val="0"/>
        <c:ser>
          <c:idx val="1"/>
          <c:order val="0"/>
          <c:tx>
            <c:strRef>
              <c:f>Graphs!$A$9</c:f>
              <c:strCache>
                <c:ptCount val="1"/>
                <c:pt idx="0">
                  <c:v>Bean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Graphs!$B$16:$L$16</c:f>
                <c:numCache>
                  <c:formatCode>General</c:formatCode>
                  <c:ptCount val="11"/>
                  <c:pt idx="0">
                    <c:v>0.8031542413028635</c:v>
                  </c:pt>
                  <c:pt idx="1">
                    <c:v>0.88298997961220449</c:v>
                  </c:pt>
                  <c:pt idx="2">
                    <c:v>0.79777798777228759</c:v>
                  </c:pt>
                  <c:pt idx="3">
                    <c:v>0.75563642377154017</c:v>
                  </c:pt>
                  <c:pt idx="4">
                    <c:v>0.9977993674832758</c:v>
                  </c:pt>
                  <c:pt idx="5">
                    <c:v>3.6268070676005539</c:v>
                  </c:pt>
                  <c:pt idx="6">
                    <c:v>1.0568673474918489</c:v>
                  </c:pt>
                  <c:pt idx="7">
                    <c:v>0.65262374015015889</c:v>
                  </c:pt>
                  <c:pt idx="8">
                    <c:v>0.79348042499445748</c:v>
                  </c:pt>
                  <c:pt idx="9">
                    <c:v>0.96503149329531335</c:v>
                  </c:pt>
                  <c:pt idx="10">
                    <c:v>0.89158089979957855</c:v>
                  </c:pt>
                </c:numCache>
              </c:numRef>
            </c:plus>
            <c:minus>
              <c:numRef>
                <c:f>Graphs!$B$16:$L$16</c:f>
                <c:numCache>
                  <c:formatCode>General</c:formatCode>
                  <c:ptCount val="11"/>
                  <c:pt idx="0">
                    <c:v>0.8031542413028635</c:v>
                  </c:pt>
                  <c:pt idx="1">
                    <c:v>0.88298997961220449</c:v>
                  </c:pt>
                  <c:pt idx="2">
                    <c:v>0.79777798777228759</c:v>
                  </c:pt>
                  <c:pt idx="3">
                    <c:v>0.75563642377154017</c:v>
                  </c:pt>
                  <c:pt idx="4">
                    <c:v>0.9977993674832758</c:v>
                  </c:pt>
                  <c:pt idx="5">
                    <c:v>3.6268070676005539</c:v>
                  </c:pt>
                  <c:pt idx="6">
                    <c:v>1.0568673474918489</c:v>
                  </c:pt>
                  <c:pt idx="7">
                    <c:v>0.65262374015015889</c:v>
                  </c:pt>
                  <c:pt idx="8">
                    <c:v>0.79348042499445748</c:v>
                  </c:pt>
                  <c:pt idx="9">
                    <c:v>0.96503149329531335</c:v>
                  </c:pt>
                  <c:pt idx="10">
                    <c:v>0.89158089979957855</c:v>
                  </c:pt>
                </c:numCache>
              </c:numRef>
            </c:minus>
          </c:errBars>
          <c:val>
            <c:numRef>
              <c:f>Graphs!$B$9:$L$9</c:f>
              <c:numCache>
                <c:formatCode>General</c:formatCode>
                <c:ptCount val="11"/>
                <c:pt idx="0">
                  <c:v>4.9429712780444124</c:v>
                </c:pt>
                <c:pt idx="1">
                  <c:v>6.2624152882037203</c:v>
                </c:pt>
                <c:pt idx="2">
                  <c:v>7.3060280365242996</c:v>
                </c:pt>
                <c:pt idx="3">
                  <c:v>10.172035851297306</c:v>
                </c:pt>
                <c:pt idx="4">
                  <c:v>11.579931885214572</c:v>
                </c:pt>
                <c:pt idx="5">
                  <c:v>19.711465858615085</c:v>
                </c:pt>
                <c:pt idx="6">
                  <c:v>12.174126634384194</c:v>
                </c:pt>
                <c:pt idx="7">
                  <c:v>9.8769836178175705</c:v>
                </c:pt>
                <c:pt idx="8">
                  <c:v>7.0360918562613142</c:v>
                </c:pt>
                <c:pt idx="9">
                  <c:v>6.359039489576868</c:v>
                </c:pt>
                <c:pt idx="10">
                  <c:v>4.5789102040606489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Graphs!$A$10</c:f>
              <c:strCache>
                <c:ptCount val="1"/>
                <c:pt idx="0">
                  <c:v>Ball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Graphs!$B$17:$L$17</c:f>
                <c:numCache>
                  <c:formatCode>General</c:formatCode>
                  <c:ptCount val="11"/>
                  <c:pt idx="0">
                    <c:v>0.43394544673783553</c:v>
                  </c:pt>
                  <c:pt idx="1">
                    <c:v>0.33499593707753839</c:v>
                  </c:pt>
                  <c:pt idx="2">
                    <c:v>0.38241758143594512</c:v>
                  </c:pt>
                  <c:pt idx="3">
                    <c:v>0.36167341586342788</c:v>
                  </c:pt>
                  <c:pt idx="4">
                    <c:v>0.43761007131402374</c:v>
                  </c:pt>
                  <c:pt idx="5">
                    <c:v>0.72665636537321276</c:v>
                  </c:pt>
                  <c:pt idx="6">
                    <c:v>0.40393507122699129</c:v>
                  </c:pt>
                  <c:pt idx="7">
                    <c:v>0.37309160329919755</c:v>
                  </c:pt>
                  <c:pt idx="8">
                    <c:v>0.3953024548353215</c:v>
                  </c:pt>
                  <c:pt idx="9">
                    <c:v>0.34986884682230979</c:v>
                  </c:pt>
                  <c:pt idx="10">
                    <c:v>0.4106448065219469</c:v>
                  </c:pt>
                </c:numCache>
              </c:numRef>
            </c:plus>
            <c:minus>
              <c:numRef>
                <c:f>Graphs!$B$17:$L$17</c:f>
                <c:numCache>
                  <c:formatCode>General</c:formatCode>
                  <c:ptCount val="11"/>
                  <c:pt idx="0">
                    <c:v>0.43394544673783553</c:v>
                  </c:pt>
                  <c:pt idx="1">
                    <c:v>0.33499593707753839</c:v>
                  </c:pt>
                  <c:pt idx="2">
                    <c:v>0.38241758143594512</c:v>
                  </c:pt>
                  <c:pt idx="3">
                    <c:v>0.36167341586342788</c:v>
                  </c:pt>
                  <c:pt idx="4">
                    <c:v>0.43761007131402374</c:v>
                  </c:pt>
                  <c:pt idx="5">
                    <c:v>0.72665636537321276</c:v>
                  </c:pt>
                  <c:pt idx="6">
                    <c:v>0.40393507122699129</c:v>
                  </c:pt>
                  <c:pt idx="7">
                    <c:v>0.37309160329919755</c:v>
                  </c:pt>
                  <c:pt idx="8">
                    <c:v>0.3953024548353215</c:v>
                  </c:pt>
                  <c:pt idx="9">
                    <c:v>0.34986884682230979</c:v>
                  </c:pt>
                  <c:pt idx="10">
                    <c:v>0.4106448065219469</c:v>
                  </c:pt>
                </c:numCache>
              </c:numRef>
            </c:minus>
          </c:errBars>
          <c:val>
            <c:numRef>
              <c:f>Graphs!$B$10:$L$10</c:f>
              <c:numCache>
                <c:formatCode>General</c:formatCode>
                <c:ptCount val="11"/>
                <c:pt idx="0">
                  <c:v>7.0893141817411189</c:v>
                </c:pt>
                <c:pt idx="1">
                  <c:v>8.0887683485304116</c:v>
                </c:pt>
                <c:pt idx="2">
                  <c:v>9.5206993626428353</c:v>
                </c:pt>
                <c:pt idx="3">
                  <c:v>9.8829476320764442</c:v>
                </c:pt>
                <c:pt idx="4">
                  <c:v>9.8278300396632989</c:v>
                </c:pt>
                <c:pt idx="5">
                  <c:v>10.193641729768032</c:v>
                </c:pt>
                <c:pt idx="6">
                  <c:v>10.253815646037623</c:v>
                </c:pt>
                <c:pt idx="7">
                  <c:v>10.217512616053039</c:v>
                </c:pt>
                <c:pt idx="8">
                  <c:v>9.5174558260611573</c:v>
                </c:pt>
                <c:pt idx="9">
                  <c:v>8.4642391725969333</c:v>
                </c:pt>
                <c:pt idx="10">
                  <c:v>6.9437754448290878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Graphs!$A$11</c:f>
              <c:strCache>
                <c:ptCount val="1"/>
                <c:pt idx="0">
                  <c:v>Actual</c:v>
                </c:pt>
              </c:strCache>
            </c:strRef>
          </c:tx>
          <c:marker>
            <c:symbol val="none"/>
          </c:marker>
          <c:val>
            <c:numRef>
              <c:f>Graphs!$B$11:$L$11</c:f>
              <c:numCache>
                <c:formatCode>General</c:formatCode>
                <c:ptCount val="11"/>
                <c:pt idx="0">
                  <c:v>9.765625E-2</c:v>
                </c:pt>
                <c:pt idx="1">
                  <c:v>0.9765625</c:v>
                </c:pt>
                <c:pt idx="2">
                  <c:v>4.39453125</c:v>
                </c:pt>
                <c:pt idx="3">
                  <c:v>11.71875</c:v>
                </c:pt>
                <c:pt idx="4">
                  <c:v>20.5078125</c:v>
                </c:pt>
                <c:pt idx="5">
                  <c:v>24.609375</c:v>
                </c:pt>
                <c:pt idx="6">
                  <c:v>20.5078125</c:v>
                </c:pt>
                <c:pt idx="7">
                  <c:v>11.71875</c:v>
                </c:pt>
                <c:pt idx="8">
                  <c:v>4.39453125</c:v>
                </c:pt>
                <c:pt idx="9">
                  <c:v>0.9765625</c:v>
                </c:pt>
                <c:pt idx="10">
                  <c:v>9.765625E-2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103360"/>
        <c:axId val="215121920"/>
      </c:lineChart>
      <c:catAx>
        <c:axId val="215103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Bin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5121920"/>
        <c:crosses val="autoZero"/>
        <c:auto val="1"/>
        <c:lblAlgn val="ctr"/>
        <c:lblOffset val="100"/>
        <c:noMultiLvlLbl val="0"/>
      </c:catAx>
      <c:valAx>
        <c:axId val="215121920"/>
        <c:scaling>
          <c:orientation val="minMax"/>
          <c:max val="25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Probability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5103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827289956053186"/>
          <c:y val="0.19511911589193545"/>
          <c:w val="0.12739876061483763"/>
          <c:h val="0.1668550052699288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64442470503806"/>
          <c:y val="4.5759976425833057E-2"/>
          <c:w val="0.8418217130124509"/>
          <c:h val="0.65498765309496942"/>
        </c:manualLayout>
      </c:layout>
      <c:lineChart>
        <c:grouping val="standard"/>
        <c:varyColors val="0"/>
        <c:ser>
          <c:idx val="0"/>
          <c:order val="0"/>
          <c:tx>
            <c:strRef>
              <c:f>Graphs!$C$47</c:f>
              <c:strCache>
                <c:ptCount val="1"/>
                <c:pt idx="0">
                  <c:v>Estimated</c:v>
                </c:pt>
              </c:strCache>
            </c:strRef>
          </c:tx>
          <c:marker>
            <c:symbol val="none"/>
          </c:marker>
          <c:errBars>
            <c:errDir val="y"/>
            <c:errBarType val="both"/>
            <c:errValType val="cust"/>
            <c:noEndCap val="0"/>
            <c:plus>
              <c:numRef>
                <c:f>Graphs!$F$48:$F$58</c:f>
                <c:numCache>
                  <c:formatCode>General</c:formatCode>
                  <c:ptCount val="11"/>
                  <c:pt idx="0">
                    <c:v>3.3833251216834341E-3</c:v>
                  </c:pt>
                  <c:pt idx="1">
                    <c:v>3.370154232718147E-3</c:v>
                  </c:pt>
                  <c:pt idx="2">
                    <c:v>4.0185811029153943E-3</c:v>
                  </c:pt>
                  <c:pt idx="3">
                    <c:v>5.6828053286833886E-3</c:v>
                  </c:pt>
                  <c:pt idx="4">
                    <c:v>4.765922059746879E-3</c:v>
                  </c:pt>
                  <c:pt idx="5">
                    <c:v>5.2934920685808766E-3</c:v>
                  </c:pt>
                  <c:pt idx="6">
                    <c:v>4.698695940368907E-3</c:v>
                  </c:pt>
                  <c:pt idx="7">
                    <c:v>4.0046672587936497E-3</c:v>
                  </c:pt>
                  <c:pt idx="8">
                    <c:v>3.3917823042495876E-3</c:v>
                  </c:pt>
                  <c:pt idx="9">
                    <c:v>3.7829820055584403E-3</c:v>
                  </c:pt>
                  <c:pt idx="10">
                    <c:v>3.5872800042565062E-3</c:v>
                  </c:pt>
                </c:numCache>
              </c:numRef>
            </c:plus>
            <c:minus>
              <c:numRef>
                <c:f>Graphs!$F$48:$F$58</c:f>
                <c:numCache>
                  <c:formatCode>General</c:formatCode>
                  <c:ptCount val="11"/>
                  <c:pt idx="0">
                    <c:v>3.3833251216834341E-3</c:v>
                  </c:pt>
                  <c:pt idx="1">
                    <c:v>3.370154232718147E-3</c:v>
                  </c:pt>
                  <c:pt idx="2">
                    <c:v>4.0185811029153943E-3</c:v>
                  </c:pt>
                  <c:pt idx="3">
                    <c:v>5.6828053286833886E-3</c:v>
                  </c:pt>
                  <c:pt idx="4">
                    <c:v>4.765922059746879E-3</c:v>
                  </c:pt>
                  <c:pt idx="5">
                    <c:v>5.2934920685808766E-3</c:v>
                  </c:pt>
                  <c:pt idx="6">
                    <c:v>4.698695940368907E-3</c:v>
                  </c:pt>
                  <c:pt idx="7">
                    <c:v>4.0046672587936497E-3</c:v>
                  </c:pt>
                  <c:pt idx="8">
                    <c:v>3.3917823042495876E-3</c:v>
                  </c:pt>
                  <c:pt idx="9">
                    <c:v>3.7829820055584403E-3</c:v>
                  </c:pt>
                  <c:pt idx="10">
                    <c:v>3.5872800042565062E-3</c:v>
                  </c:pt>
                </c:numCache>
              </c:numRef>
            </c:minus>
          </c:errBars>
          <c:cat>
            <c:strRef>
              <c:f>Graphs!$A$48:$A$58</c:f>
              <c:strCache>
                <c:ptCount val="11"/>
                <c:pt idx="0">
                  <c:v>65 inches or below</c:v>
                </c:pt>
                <c:pt idx="1">
                  <c:v>66 inches</c:v>
                </c:pt>
                <c:pt idx="2">
                  <c:v>67 inches</c:v>
                </c:pt>
                <c:pt idx="3">
                  <c:v>68 inches</c:v>
                </c:pt>
                <c:pt idx="4">
                  <c:v>69 inches</c:v>
                </c:pt>
                <c:pt idx="5">
                  <c:v>70 inches</c:v>
                </c:pt>
                <c:pt idx="6">
                  <c:v>71 inches</c:v>
                </c:pt>
                <c:pt idx="7">
                  <c:v>72 inches</c:v>
                </c:pt>
                <c:pt idx="8">
                  <c:v>73 inches</c:v>
                </c:pt>
                <c:pt idx="9">
                  <c:v>74 inches</c:v>
                </c:pt>
                <c:pt idx="10">
                  <c:v>75 inches or above</c:v>
                </c:pt>
              </c:strCache>
            </c:strRef>
          </c:cat>
          <c:val>
            <c:numRef>
              <c:f>Graphs!$C$48:$C$58</c:f>
              <c:numCache>
                <c:formatCode>0%</c:formatCode>
                <c:ptCount val="11"/>
                <c:pt idx="0">
                  <c:v>4.6868524208651799E-2</c:v>
                </c:pt>
                <c:pt idx="1">
                  <c:v>6.5241640781557683E-2</c:v>
                </c:pt>
                <c:pt idx="2">
                  <c:v>8.6076757281080968E-2</c:v>
                </c:pt>
                <c:pt idx="3">
                  <c:v>0.10888086405470189</c:v>
                </c:pt>
                <c:pt idx="4">
                  <c:v>0.1218909628190066</c:v>
                </c:pt>
                <c:pt idx="5">
                  <c:v>0.13699598463363213</c:v>
                </c:pt>
                <c:pt idx="6">
                  <c:v>0.12701754627539497</c:v>
                </c:pt>
                <c:pt idx="7">
                  <c:v>0.10530040499001979</c:v>
                </c:pt>
                <c:pt idx="8">
                  <c:v>8.5170918821093788E-2</c:v>
                </c:pt>
                <c:pt idx="9">
                  <c:v>6.7407863458045919E-2</c:v>
                </c:pt>
                <c:pt idx="10">
                  <c:v>4.9148532676814474E-2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Graphs!$D$47</c:f>
              <c:strCache>
                <c:ptCount val="1"/>
                <c:pt idx="0">
                  <c:v>Actual</c:v>
                </c:pt>
              </c:strCache>
            </c:strRef>
          </c:tx>
          <c:marker>
            <c:symbol val="none"/>
          </c:marker>
          <c:cat>
            <c:strRef>
              <c:f>Graphs!$A$48:$A$58</c:f>
              <c:strCache>
                <c:ptCount val="11"/>
                <c:pt idx="0">
                  <c:v>65 inches or below</c:v>
                </c:pt>
                <c:pt idx="1">
                  <c:v>66 inches</c:v>
                </c:pt>
                <c:pt idx="2">
                  <c:v>67 inches</c:v>
                </c:pt>
                <c:pt idx="3">
                  <c:v>68 inches</c:v>
                </c:pt>
                <c:pt idx="4">
                  <c:v>69 inches</c:v>
                </c:pt>
                <c:pt idx="5">
                  <c:v>70 inches</c:v>
                </c:pt>
                <c:pt idx="6">
                  <c:v>71 inches</c:v>
                </c:pt>
                <c:pt idx="7">
                  <c:v>72 inches</c:v>
                </c:pt>
                <c:pt idx="8">
                  <c:v>73 inches</c:v>
                </c:pt>
                <c:pt idx="9">
                  <c:v>74 inches</c:v>
                </c:pt>
                <c:pt idx="10">
                  <c:v>75 inches or above</c:v>
                </c:pt>
              </c:strCache>
            </c:strRef>
          </c:cat>
          <c:val>
            <c:numRef>
              <c:f>Graphs!$D$48:$D$58</c:f>
              <c:numCache>
                <c:formatCode>0%</c:formatCode>
                <c:ptCount val="11"/>
                <c:pt idx="0">
                  <c:v>7.3288644121270341E-2</c:v>
                </c:pt>
                <c:pt idx="1">
                  <c:v>5.5202719184340797E-2</c:v>
                </c:pt>
                <c:pt idx="2">
                  <c:v>8.3596788554039653E-2</c:v>
                </c:pt>
                <c:pt idx="3">
                  <c:v>0.12240364766821041</c:v>
                </c:pt>
                <c:pt idx="4">
                  <c:v>0.11135474363272881</c:v>
                </c:pt>
                <c:pt idx="5">
                  <c:v>0.14267465762704382</c:v>
                </c:pt>
                <c:pt idx="6">
                  <c:v>0.12874513044519045</c:v>
                </c:pt>
                <c:pt idx="7">
                  <c:v>9.3624901488687268E-2</c:v>
                </c:pt>
                <c:pt idx="8">
                  <c:v>9.11459894269218E-2</c:v>
                </c:pt>
                <c:pt idx="9">
                  <c:v>4.2788323364858723E-2</c:v>
                </c:pt>
                <c:pt idx="10">
                  <c:v>5.4015650977672955E-2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143552"/>
        <c:axId val="215145088"/>
      </c:lineChart>
      <c:catAx>
        <c:axId val="215143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215145088"/>
        <c:crosses val="autoZero"/>
        <c:auto val="1"/>
        <c:lblAlgn val="ctr"/>
        <c:lblOffset val="100"/>
        <c:noMultiLvlLbl val="0"/>
      </c:catAx>
      <c:valAx>
        <c:axId val="2151450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of adult male US population</a:t>
                </a:r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215143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2125221899129828"/>
          <c:y val="0.42137349461914037"/>
          <c:w val="0.19585105803683253"/>
          <c:h val="0.14952272500874075"/>
        </c:manualLayout>
      </c:layout>
      <c:overlay val="0"/>
      <c:spPr>
        <a:solidFill>
          <a:schemeClr val="bg1"/>
        </a:solidFill>
        <a:ln>
          <a:solidFill>
            <a:schemeClr val="accent1"/>
          </a:solidFill>
        </a:ln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 Carter</dc:creator>
  <cp:lastModifiedBy>Ashli Carter</cp:lastModifiedBy>
  <cp:revision>1</cp:revision>
  <dcterms:created xsi:type="dcterms:W3CDTF">2015-10-05T02:58:00Z</dcterms:created>
  <dcterms:modified xsi:type="dcterms:W3CDTF">2015-10-05T03:00:00Z</dcterms:modified>
</cp:coreProperties>
</file>